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D8" w:rsidRPr="001028D8" w:rsidRDefault="001028D8" w:rsidP="001028D8">
      <w:pPr>
        <w:spacing w:after="0"/>
        <w:rPr>
          <w:sz w:val="24"/>
          <w:szCs w:val="24"/>
          <w:lang w:val="ru-RU"/>
        </w:rPr>
      </w:pPr>
      <w:r w:rsidRPr="001028D8">
        <w:rPr>
          <w:b/>
          <w:sz w:val="24"/>
          <w:szCs w:val="24"/>
          <w:lang w:val="ru-RU"/>
        </w:rPr>
        <w:t>Повышение квалификации педагогических кадров</w:t>
      </w:r>
      <w:r>
        <w:rPr>
          <w:b/>
          <w:sz w:val="24"/>
          <w:szCs w:val="24"/>
          <w:lang w:val="ru-RU"/>
        </w:rPr>
        <w:t xml:space="preserve"> АСХК в 2024-2025 учебном году</w:t>
      </w:r>
      <w:r w:rsidRPr="001028D8">
        <w:rPr>
          <w:sz w:val="24"/>
          <w:szCs w:val="24"/>
          <w:lang w:val="ru-RU"/>
        </w:rPr>
        <w:t xml:space="preserve">. </w:t>
      </w:r>
      <w:bookmarkStart w:id="0" w:name="_GoBack"/>
      <w:bookmarkEnd w:id="0"/>
    </w:p>
    <w:p w:rsidR="001028D8" w:rsidRDefault="001028D8" w:rsidP="001028D8">
      <w:pPr>
        <w:pStyle w:val="a6"/>
        <w:spacing w:before="0" w:beforeAutospacing="0" w:after="0" w:afterAutospacing="0"/>
      </w:pPr>
      <w:r>
        <w:t xml:space="preserve">Дальнейшее развитие получила </w:t>
      </w:r>
      <w:r w:rsidRPr="00075044">
        <w:t>деятельность по обеспечению профессионального роста  педагогических работников колледжа.</w:t>
      </w:r>
      <w:r>
        <w:t xml:space="preserve"> Ежегодно преподаватели колледжа повышают свою квалификацию, посещая курсы повышения квалификации НАО «</w:t>
      </w:r>
      <w:proofErr w:type="spellStart"/>
      <w:r>
        <w:t>Талап</w:t>
      </w:r>
      <w:proofErr w:type="spellEnd"/>
      <w:r>
        <w:t>», областного филиала «</w:t>
      </w:r>
      <w:proofErr w:type="spellStart"/>
      <w:r>
        <w:t>Өрлеу</w:t>
      </w:r>
      <w:proofErr w:type="spellEnd"/>
      <w:r>
        <w:t xml:space="preserve">» ИПК </w:t>
      </w:r>
      <w:proofErr w:type="gramStart"/>
      <w:r>
        <w:t>ПР</w:t>
      </w:r>
      <w:proofErr w:type="gramEnd"/>
      <w:r>
        <w:t xml:space="preserve">,  НИШ, семинары, стажировку на предприятиях. </w:t>
      </w:r>
    </w:p>
    <w:p w:rsidR="001028D8" w:rsidRDefault="001028D8" w:rsidP="001028D8">
      <w:pPr>
        <w:pStyle w:val="a6"/>
        <w:spacing w:before="0" w:beforeAutospacing="0" w:after="0" w:afterAutospacing="0"/>
      </w:pPr>
      <w:r>
        <w:t>С сентября месяца по июнь 2024-2025 учебного года из общего числа педагогических кадров (</w:t>
      </w:r>
      <w:r w:rsidRPr="001028D8">
        <w:t>53 человека</w:t>
      </w:r>
      <w:r>
        <w:t xml:space="preserve">) повысили квалификацию 6 </w:t>
      </w:r>
      <w:r w:rsidRPr="00E66514">
        <w:t>человек (</w:t>
      </w:r>
      <w:r>
        <w:t>11,3%),  из них:    </w:t>
      </w:r>
    </w:p>
    <w:p w:rsidR="001028D8" w:rsidRDefault="001028D8" w:rsidP="001028D8">
      <w:pPr>
        <w:pStyle w:val="a6"/>
        <w:spacing w:before="0" w:beforeAutospacing="0" w:after="0" w:afterAutospacing="0"/>
      </w:pPr>
      <w:r>
        <w:t xml:space="preserve">— </w:t>
      </w:r>
      <w:r w:rsidRPr="00E66514">
        <w:rPr>
          <w:b/>
        </w:rPr>
        <w:t>ТОО Учебный центр «</w:t>
      </w:r>
      <w:proofErr w:type="spellStart"/>
      <w:r w:rsidRPr="00563086">
        <w:rPr>
          <w:b/>
        </w:rPr>
        <w:t>Ө</w:t>
      </w:r>
      <w:r w:rsidRPr="00E66514">
        <w:rPr>
          <w:b/>
        </w:rPr>
        <w:t>рлеу</w:t>
      </w:r>
      <w:proofErr w:type="spellEnd"/>
      <w:r w:rsidRPr="00E66514">
        <w:rPr>
          <w:b/>
        </w:rPr>
        <w:t xml:space="preserve"> </w:t>
      </w:r>
      <w:r>
        <w:rPr>
          <w:b/>
        </w:rPr>
        <w:t>–</w:t>
      </w:r>
      <w:r w:rsidRPr="00E66514">
        <w:rPr>
          <w:b/>
        </w:rPr>
        <w:t xml:space="preserve"> РК»</w:t>
      </w:r>
      <w:r w:rsidRPr="00E66514">
        <w:t xml:space="preserve"> - общее количество педагогов – </w:t>
      </w:r>
      <w:r>
        <w:t>2</w:t>
      </w:r>
      <w:r w:rsidRPr="00E66514">
        <w:t xml:space="preserve">: </w:t>
      </w:r>
      <w:r>
        <w:t>преподаватель географии по теме «</w:t>
      </w:r>
      <w:r w:rsidRPr="00F84A16">
        <w:t>Глобальные компетенции в техническом и профессиональном образовании</w:t>
      </w:r>
      <w:r>
        <w:t>», преподаватель НВТП по теме «</w:t>
      </w:r>
      <w:r w:rsidRPr="00F84A16">
        <w:t>Развитие профессиональных компетенций педагогов – организаторов НВТП</w:t>
      </w:r>
      <w:r>
        <w:t>».</w:t>
      </w:r>
    </w:p>
    <w:p w:rsidR="001028D8" w:rsidRPr="001028D8" w:rsidRDefault="001028D8" w:rsidP="001028D8">
      <w:pPr>
        <w:spacing w:after="0"/>
        <w:rPr>
          <w:sz w:val="24"/>
          <w:szCs w:val="24"/>
          <w:lang w:val="ru-RU"/>
        </w:rPr>
      </w:pPr>
      <w:r w:rsidRPr="001028D8">
        <w:rPr>
          <w:lang w:val="ru-RU"/>
        </w:rPr>
        <w:t xml:space="preserve">— </w:t>
      </w:r>
      <w:r w:rsidRPr="001028D8">
        <w:rPr>
          <w:b/>
          <w:color w:val="000000"/>
          <w:sz w:val="24"/>
          <w:szCs w:val="24"/>
          <w:lang w:val="ru-RU"/>
        </w:rPr>
        <w:t>по программе курсов НАО «</w:t>
      </w:r>
      <w:proofErr w:type="spellStart"/>
      <w:r w:rsidRPr="001028D8">
        <w:rPr>
          <w:b/>
          <w:color w:val="000000"/>
          <w:sz w:val="24"/>
          <w:szCs w:val="24"/>
          <w:lang w:val="ru-RU"/>
        </w:rPr>
        <w:t>Талап</w:t>
      </w:r>
      <w:proofErr w:type="spellEnd"/>
      <w:r w:rsidRPr="001028D8">
        <w:rPr>
          <w:b/>
          <w:color w:val="000000"/>
          <w:sz w:val="24"/>
          <w:szCs w:val="24"/>
          <w:lang w:val="ru-RU"/>
        </w:rPr>
        <w:t>»</w:t>
      </w:r>
      <w:r w:rsidRPr="001028D8">
        <w:rPr>
          <w:color w:val="000000"/>
          <w:sz w:val="24"/>
          <w:szCs w:val="24"/>
          <w:lang w:val="ru-RU"/>
        </w:rPr>
        <w:t xml:space="preserve"> -</w:t>
      </w:r>
      <w:r w:rsidRPr="001028D8">
        <w:rPr>
          <w:sz w:val="24"/>
          <w:szCs w:val="24"/>
          <w:lang w:val="ru-RU"/>
        </w:rPr>
        <w:t xml:space="preserve"> общее количество педагогов – 4, из них преподаватели СД – 3, мастер производственного обучения – 1по темам: «Повышение профессиональной компетентности педагогов в сфере питания», «Развитие профессиональной компетенции педагогов технического  и профессионального, </w:t>
      </w:r>
      <w:proofErr w:type="spellStart"/>
      <w:r w:rsidRPr="001028D8">
        <w:rPr>
          <w:sz w:val="24"/>
          <w:szCs w:val="24"/>
          <w:lang w:val="ru-RU"/>
        </w:rPr>
        <w:t>послесреднего</w:t>
      </w:r>
      <w:proofErr w:type="spellEnd"/>
      <w:r w:rsidRPr="001028D8">
        <w:rPr>
          <w:sz w:val="24"/>
          <w:szCs w:val="24"/>
          <w:lang w:val="ru-RU"/>
        </w:rPr>
        <w:t xml:space="preserve"> образования».</w:t>
      </w:r>
    </w:p>
    <w:tbl>
      <w:tblPr>
        <w:tblStyle w:val="a5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1418"/>
        <w:gridCol w:w="708"/>
        <w:gridCol w:w="1701"/>
      </w:tblGrid>
      <w:tr w:rsidR="001028D8" w:rsidRPr="00267005" w:rsidTr="001028D8">
        <w:tc>
          <w:tcPr>
            <w:tcW w:w="567" w:type="dxa"/>
          </w:tcPr>
          <w:p w:rsidR="001028D8" w:rsidRPr="00267005" w:rsidRDefault="001028D8" w:rsidP="007A655A">
            <w:pPr>
              <w:jc w:val="center"/>
              <w:rPr>
                <w:sz w:val="24"/>
                <w:szCs w:val="24"/>
                <w:lang w:eastAsia="ru-RU"/>
              </w:rPr>
            </w:pPr>
            <w:r w:rsidRPr="00267005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028D8">
              <w:rPr>
                <w:b/>
                <w:sz w:val="24"/>
                <w:szCs w:val="24"/>
                <w:lang w:val="ru-RU" w:eastAsia="ru-RU"/>
              </w:rPr>
              <w:t>Ф.И.О.</w:t>
            </w:r>
          </w:p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028D8">
              <w:rPr>
                <w:b/>
                <w:sz w:val="24"/>
                <w:szCs w:val="24"/>
                <w:lang w:val="ru-RU" w:eastAsia="ru-RU"/>
              </w:rPr>
              <w:t>инженерно-педагогических работников</w:t>
            </w:r>
          </w:p>
        </w:tc>
        <w:tc>
          <w:tcPr>
            <w:tcW w:w="2977" w:type="dxa"/>
          </w:tcPr>
          <w:p w:rsidR="001028D8" w:rsidRPr="00267005" w:rsidRDefault="001028D8" w:rsidP="007A65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6700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темы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028D8">
              <w:rPr>
                <w:b/>
                <w:sz w:val="24"/>
                <w:szCs w:val="24"/>
                <w:lang w:val="ru-RU" w:eastAsia="ru-RU"/>
              </w:rPr>
              <w:t>Место и период прохождения обучения</w:t>
            </w:r>
          </w:p>
        </w:tc>
        <w:tc>
          <w:tcPr>
            <w:tcW w:w="1418" w:type="dxa"/>
          </w:tcPr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028D8">
              <w:rPr>
                <w:b/>
                <w:sz w:val="24"/>
                <w:szCs w:val="24"/>
                <w:lang w:val="ru-RU" w:eastAsia="ru-RU"/>
              </w:rPr>
              <w:t xml:space="preserve">Наименование </w:t>
            </w:r>
            <w:proofErr w:type="spellStart"/>
            <w:r w:rsidRPr="001028D8">
              <w:rPr>
                <w:b/>
                <w:sz w:val="24"/>
                <w:szCs w:val="24"/>
                <w:lang w:val="ru-RU" w:eastAsia="ru-RU"/>
              </w:rPr>
              <w:t>организа</w:t>
            </w:r>
            <w:proofErr w:type="spellEnd"/>
            <w:r w:rsidRPr="001028D8">
              <w:rPr>
                <w:b/>
                <w:sz w:val="24"/>
                <w:szCs w:val="24"/>
                <w:lang w:val="ru-RU" w:eastAsia="ru-RU"/>
              </w:rPr>
              <w:t>-</w:t>
            </w:r>
          </w:p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1028D8">
              <w:rPr>
                <w:b/>
                <w:sz w:val="24"/>
                <w:szCs w:val="24"/>
                <w:lang w:val="ru-RU" w:eastAsia="ru-RU"/>
              </w:rPr>
              <w:t>ции</w:t>
            </w:r>
            <w:proofErr w:type="spellEnd"/>
            <w:r w:rsidRPr="001028D8">
              <w:rPr>
                <w:b/>
                <w:sz w:val="24"/>
                <w:szCs w:val="24"/>
                <w:lang w:val="ru-RU" w:eastAsia="ru-RU"/>
              </w:rPr>
              <w:t>,</w:t>
            </w:r>
          </w:p>
          <w:p w:rsidR="001028D8" w:rsidRPr="001028D8" w:rsidRDefault="001028D8" w:rsidP="007A655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028D8">
              <w:rPr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gramStart"/>
            <w:r w:rsidRPr="001028D8">
              <w:rPr>
                <w:b/>
                <w:sz w:val="24"/>
                <w:szCs w:val="24"/>
                <w:lang w:val="ru-RU" w:eastAsia="ru-RU"/>
              </w:rPr>
              <w:t>которой</w:t>
            </w:r>
            <w:proofErr w:type="gramEnd"/>
            <w:r w:rsidRPr="001028D8">
              <w:rPr>
                <w:b/>
                <w:sz w:val="24"/>
                <w:szCs w:val="24"/>
                <w:lang w:val="ru-RU" w:eastAsia="ru-RU"/>
              </w:rPr>
              <w:t xml:space="preserve"> проходило обучение.</w:t>
            </w:r>
          </w:p>
        </w:tc>
        <w:tc>
          <w:tcPr>
            <w:tcW w:w="708" w:type="dxa"/>
          </w:tcPr>
          <w:p w:rsidR="001028D8" w:rsidRDefault="001028D8" w:rsidP="007A655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Кол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-</w:t>
            </w:r>
          </w:p>
          <w:p w:rsidR="001028D8" w:rsidRPr="00267005" w:rsidRDefault="001028D8" w:rsidP="007A655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во</w:t>
            </w:r>
            <w:proofErr w:type="spellEnd"/>
            <w:r w:rsidRPr="0026700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1701" w:type="dxa"/>
          </w:tcPr>
          <w:p w:rsidR="001028D8" w:rsidRPr="00267005" w:rsidRDefault="001028D8" w:rsidP="007A655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Форма</w:t>
            </w:r>
            <w:proofErr w:type="spellEnd"/>
            <w:r w:rsidRPr="0026700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005">
              <w:rPr>
                <w:b/>
                <w:sz w:val="24"/>
                <w:szCs w:val="24"/>
                <w:lang w:eastAsia="ru-RU"/>
              </w:rPr>
              <w:t>завершения</w:t>
            </w:r>
            <w:proofErr w:type="spellEnd"/>
          </w:p>
        </w:tc>
      </w:tr>
      <w:tr w:rsidR="001028D8" w:rsidRPr="00267005" w:rsidTr="001028D8">
        <w:tc>
          <w:tcPr>
            <w:tcW w:w="567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1028D8" w:rsidRPr="004F0D5C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Талкамбаев Асылбек Жаксылыкович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>Глобальные компетенции в техническом и профессиональном образовании</w:t>
            </w:r>
          </w:p>
        </w:tc>
        <w:tc>
          <w:tcPr>
            <w:tcW w:w="1559" w:type="dxa"/>
          </w:tcPr>
          <w:p w:rsidR="001028D8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Default="001028D8" w:rsidP="007A655A">
            <w:r>
              <w:rPr>
                <w:sz w:val="24"/>
                <w:szCs w:val="24"/>
                <w:lang w:eastAsia="ru-RU"/>
              </w:rPr>
              <w:t>09.09 – 1</w:t>
            </w:r>
            <w:r w:rsidRPr="00663C01">
              <w:rPr>
                <w:sz w:val="24"/>
                <w:szCs w:val="24"/>
                <w:lang w:eastAsia="ru-RU"/>
              </w:rPr>
              <w:t>9.09.202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028D8" w:rsidRPr="00920B61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«НАЦПК «</w:t>
            </w:r>
            <w:r>
              <w:rPr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sz w:val="24"/>
                <w:szCs w:val="24"/>
              </w:rPr>
              <w:t>рлеу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</w:tcPr>
          <w:p w:rsidR="001028D8" w:rsidRPr="006A0E5E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1701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D1D1F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</w:p>
          <w:p w:rsidR="001028D8" w:rsidRPr="00180AEB" w:rsidRDefault="001028D8" w:rsidP="007A655A">
            <w:r w:rsidRPr="000D1D1F">
              <w:rPr>
                <w:sz w:val="24"/>
                <w:szCs w:val="24"/>
                <w:lang w:eastAsia="ru-RU"/>
              </w:rPr>
              <w:t>№</w:t>
            </w:r>
            <w:r>
              <w:rPr>
                <w:sz w:val="24"/>
                <w:szCs w:val="24"/>
                <w:lang w:eastAsia="ru-RU"/>
              </w:rPr>
              <w:t xml:space="preserve"> 0815441</w:t>
            </w:r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28D8" w:rsidRPr="00267005" w:rsidTr="001028D8">
        <w:tc>
          <w:tcPr>
            <w:tcW w:w="567" w:type="dxa"/>
          </w:tcPr>
          <w:p w:rsidR="001028D8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Есмагамбетов Асылхан Калмуканович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>Развитие профессиональных компетенций педагогов – организаторов НВТП</w:t>
            </w:r>
          </w:p>
        </w:tc>
        <w:tc>
          <w:tcPr>
            <w:tcW w:w="1559" w:type="dxa"/>
          </w:tcPr>
          <w:p w:rsidR="001028D8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Default="001028D8" w:rsidP="007A655A">
            <w:r>
              <w:rPr>
                <w:sz w:val="24"/>
                <w:szCs w:val="24"/>
                <w:lang w:eastAsia="ru-RU"/>
              </w:rPr>
              <w:t>09.09 – 1</w:t>
            </w:r>
            <w:r w:rsidRPr="00663C01">
              <w:rPr>
                <w:sz w:val="24"/>
                <w:szCs w:val="24"/>
                <w:lang w:eastAsia="ru-RU"/>
              </w:rPr>
              <w:t>9.09.202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028D8" w:rsidRPr="00920B61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«НАЦПК «</w:t>
            </w:r>
            <w:r>
              <w:rPr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sz w:val="24"/>
                <w:szCs w:val="24"/>
              </w:rPr>
              <w:t>рлеу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</w:tcPr>
          <w:p w:rsidR="001028D8" w:rsidRPr="006A0E5E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1701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D1D1F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</w:p>
          <w:p w:rsidR="001028D8" w:rsidRPr="00180AEB" w:rsidRDefault="001028D8" w:rsidP="007A655A">
            <w:r w:rsidRPr="000D1D1F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0815456</w:t>
            </w:r>
          </w:p>
        </w:tc>
      </w:tr>
      <w:tr w:rsidR="001028D8" w:rsidRPr="00267005" w:rsidTr="001028D8">
        <w:tc>
          <w:tcPr>
            <w:tcW w:w="567" w:type="dxa"/>
          </w:tcPr>
          <w:p w:rsidR="001028D8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Наговицына Римма Григорьевна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1028D8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Pr="00FC66C2" w:rsidRDefault="001028D8" w:rsidP="007A655A">
            <w:pPr>
              <w:rPr>
                <w:color w:val="FF0000"/>
                <w:sz w:val="24"/>
                <w:szCs w:val="24"/>
                <w:lang w:val="kk-KZ"/>
              </w:rPr>
            </w:pPr>
            <w:r w:rsidRPr="000A5BF2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0A5BF2">
              <w:rPr>
                <w:sz w:val="24"/>
                <w:szCs w:val="24"/>
                <w:lang w:eastAsia="ru-RU"/>
              </w:rPr>
              <w:t>.10 – 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0A5BF2">
              <w:rPr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418" w:type="dxa"/>
          </w:tcPr>
          <w:p w:rsidR="001028D8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НАО «</w:t>
            </w:r>
            <w:proofErr w:type="spellStart"/>
            <w:r>
              <w:rPr>
                <w:sz w:val="24"/>
                <w:szCs w:val="24"/>
              </w:rPr>
              <w:t>Талап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D1D1F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БППР-499</w:t>
            </w:r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1028D8" w:rsidRPr="00180AEB" w:rsidRDefault="001028D8" w:rsidP="007A655A">
            <w:r w:rsidRPr="000D1D1F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0001185</w:t>
            </w:r>
          </w:p>
        </w:tc>
      </w:tr>
      <w:tr w:rsidR="001028D8" w:rsidRPr="000A5BF2" w:rsidTr="001028D8">
        <w:tc>
          <w:tcPr>
            <w:tcW w:w="567" w:type="dxa"/>
          </w:tcPr>
          <w:p w:rsidR="001028D8" w:rsidRPr="000A5BF2" w:rsidRDefault="001028D8" w:rsidP="007A655A">
            <w:pPr>
              <w:rPr>
                <w:sz w:val="24"/>
                <w:szCs w:val="24"/>
              </w:rPr>
            </w:pPr>
            <w:r w:rsidRPr="000A5BF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28D8" w:rsidRPr="000A5BF2" w:rsidRDefault="001028D8" w:rsidP="007A655A">
            <w:pPr>
              <w:rPr>
                <w:sz w:val="24"/>
                <w:szCs w:val="24"/>
                <w:lang w:val="kk-KZ"/>
              </w:rPr>
            </w:pPr>
            <w:r w:rsidRPr="000A5BF2">
              <w:rPr>
                <w:sz w:val="24"/>
                <w:szCs w:val="24"/>
                <w:lang w:val="kk-KZ"/>
              </w:rPr>
              <w:t xml:space="preserve">Нурманова Шулпан </w:t>
            </w:r>
          </w:p>
          <w:p w:rsidR="001028D8" w:rsidRPr="000A5BF2" w:rsidRDefault="001028D8" w:rsidP="007A655A">
            <w:pPr>
              <w:rPr>
                <w:sz w:val="24"/>
                <w:szCs w:val="24"/>
                <w:lang w:val="kk-KZ"/>
              </w:rPr>
            </w:pPr>
            <w:r w:rsidRPr="000A5BF2">
              <w:rPr>
                <w:sz w:val="24"/>
                <w:szCs w:val="24"/>
                <w:lang w:val="kk-KZ"/>
              </w:rPr>
              <w:t>Кульмискановна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1028D8" w:rsidRPr="000A5BF2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 w:rsidRPr="000A5BF2"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Pr="000A5BF2" w:rsidRDefault="001028D8" w:rsidP="007A655A">
            <w:pPr>
              <w:rPr>
                <w:sz w:val="24"/>
                <w:szCs w:val="24"/>
                <w:lang w:val="kk-KZ"/>
              </w:rPr>
            </w:pPr>
            <w:r w:rsidRPr="000A5BF2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0A5BF2">
              <w:rPr>
                <w:sz w:val="24"/>
                <w:szCs w:val="24"/>
                <w:lang w:eastAsia="ru-RU"/>
              </w:rPr>
              <w:t>.10 – 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0A5BF2">
              <w:rPr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418" w:type="dxa"/>
          </w:tcPr>
          <w:p w:rsidR="001028D8" w:rsidRPr="000A5BF2" w:rsidRDefault="001028D8" w:rsidP="007A655A">
            <w:pPr>
              <w:rPr>
                <w:sz w:val="24"/>
                <w:szCs w:val="24"/>
              </w:rPr>
            </w:pPr>
            <w:r w:rsidRPr="000A5BF2">
              <w:rPr>
                <w:sz w:val="24"/>
                <w:szCs w:val="24"/>
              </w:rPr>
              <w:t>НАО «</w:t>
            </w:r>
            <w:proofErr w:type="spellStart"/>
            <w:r w:rsidRPr="000A5BF2">
              <w:rPr>
                <w:sz w:val="24"/>
                <w:szCs w:val="24"/>
              </w:rPr>
              <w:t>Талап</w:t>
            </w:r>
            <w:proofErr w:type="spellEnd"/>
            <w:r w:rsidRPr="000A5BF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1028D8" w:rsidRPr="000A5BF2" w:rsidRDefault="001028D8" w:rsidP="007A655A">
            <w:pPr>
              <w:rPr>
                <w:sz w:val="24"/>
                <w:szCs w:val="24"/>
                <w:lang w:val="kk-KZ"/>
              </w:rPr>
            </w:pPr>
            <w:r w:rsidRPr="000A5BF2"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1028D8" w:rsidRPr="000A5BF2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A5BF2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  <w:r w:rsidRPr="000A5BF2">
              <w:rPr>
                <w:sz w:val="24"/>
                <w:szCs w:val="24"/>
                <w:lang w:eastAsia="ru-RU"/>
              </w:rPr>
              <w:t xml:space="preserve"> </w:t>
            </w:r>
          </w:p>
          <w:p w:rsidR="001028D8" w:rsidRPr="000A5BF2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A5BF2">
              <w:rPr>
                <w:sz w:val="24"/>
                <w:szCs w:val="24"/>
                <w:lang w:eastAsia="ru-RU"/>
              </w:rPr>
              <w:t>№ БППР-4101</w:t>
            </w:r>
          </w:p>
          <w:p w:rsidR="001028D8" w:rsidRPr="000A5BF2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A5BF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</w:t>
            </w:r>
            <w:r w:rsidRPr="000A5BF2">
              <w:rPr>
                <w:sz w:val="24"/>
                <w:szCs w:val="24"/>
                <w:lang w:eastAsia="ru-RU"/>
              </w:rPr>
              <w:t>егистрацион</w:t>
            </w:r>
            <w:proofErr w:type="spellEnd"/>
          </w:p>
          <w:p w:rsidR="001028D8" w:rsidRPr="000A5BF2" w:rsidRDefault="001028D8" w:rsidP="007A655A">
            <w:r w:rsidRPr="000A5BF2">
              <w:rPr>
                <w:sz w:val="24"/>
                <w:szCs w:val="24"/>
                <w:lang w:eastAsia="ru-RU"/>
              </w:rPr>
              <w:t>№ 0001187</w:t>
            </w:r>
          </w:p>
        </w:tc>
      </w:tr>
      <w:tr w:rsidR="001028D8" w:rsidRPr="00267005" w:rsidTr="001028D8">
        <w:tc>
          <w:tcPr>
            <w:tcW w:w="567" w:type="dxa"/>
          </w:tcPr>
          <w:p w:rsidR="001028D8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Абдоллина Самал Сейткереевна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 xml:space="preserve">Развитие профессиональной компетенции педагогов технического  и профессионального, </w:t>
            </w:r>
            <w:proofErr w:type="spellStart"/>
            <w:r w:rsidRPr="001028D8">
              <w:rPr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1028D8">
              <w:rPr>
                <w:sz w:val="24"/>
                <w:szCs w:val="24"/>
                <w:lang w:val="ru-RU"/>
              </w:rPr>
              <w:t xml:space="preserve"> образования. </w:t>
            </w:r>
          </w:p>
        </w:tc>
        <w:tc>
          <w:tcPr>
            <w:tcW w:w="1559" w:type="dxa"/>
          </w:tcPr>
          <w:p w:rsidR="001028D8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Pr="00BA47C1" w:rsidRDefault="001028D8" w:rsidP="007A655A">
            <w:pPr>
              <w:rPr>
                <w:sz w:val="24"/>
                <w:szCs w:val="24"/>
                <w:lang w:val="kk-KZ"/>
              </w:rPr>
            </w:pPr>
            <w:r w:rsidRPr="00BA47C1">
              <w:rPr>
                <w:sz w:val="24"/>
                <w:szCs w:val="24"/>
                <w:lang w:eastAsia="ru-RU"/>
              </w:rPr>
              <w:t>28.10 – 08.11.2024</w:t>
            </w:r>
          </w:p>
        </w:tc>
        <w:tc>
          <w:tcPr>
            <w:tcW w:w="1418" w:type="dxa"/>
          </w:tcPr>
          <w:p w:rsidR="001028D8" w:rsidRDefault="001028D8" w:rsidP="007A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НАО «</w:t>
            </w:r>
            <w:proofErr w:type="spellStart"/>
            <w:r>
              <w:rPr>
                <w:sz w:val="24"/>
                <w:szCs w:val="24"/>
              </w:rPr>
              <w:t>Талап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D1D1F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D1D1F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БПР-4819</w:t>
            </w:r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1028D8" w:rsidRPr="00180AEB" w:rsidRDefault="001028D8" w:rsidP="007A655A">
            <w:r w:rsidRPr="000D1D1F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0001897</w:t>
            </w:r>
          </w:p>
        </w:tc>
      </w:tr>
      <w:tr w:rsidR="001028D8" w:rsidRPr="00267005" w:rsidTr="001028D8">
        <w:tc>
          <w:tcPr>
            <w:tcW w:w="567" w:type="dxa"/>
          </w:tcPr>
          <w:p w:rsidR="001028D8" w:rsidRPr="003465D2" w:rsidRDefault="001028D8" w:rsidP="007A655A">
            <w:pPr>
              <w:rPr>
                <w:sz w:val="24"/>
                <w:szCs w:val="24"/>
              </w:rPr>
            </w:pPr>
            <w:r w:rsidRPr="003465D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028D8" w:rsidRPr="003465D2" w:rsidRDefault="001028D8" w:rsidP="007A655A">
            <w:pPr>
              <w:rPr>
                <w:sz w:val="24"/>
                <w:szCs w:val="24"/>
                <w:lang w:val="kk-KZ"/>
              </w:rPr>
            </w:pPr>
            <w:r w:rsidRPr="003465D2">
              <w:rPr>
                <w:sz w:val="24"/>
                <w:szCs w:val="24"/>
                <w:lang w:val="kk-KZ"/>
              </w:rPr>
              <w:t>Ахметчина Гульнара Илаиковна</w:t>
            </w:r>
          </w:p>
        </w:tc>
        <w:tc>
          <w:tcPr>
            <w:tcW w:w="2977" w:type="dxa"/>
          </w:tcPr>
          <w:p w:rsidR="001028D8" w:rsidRPr="001028D8" w:rsidRDefault="001028D8" w:rsidP="007A655A">
            <w:pPr>
              <w:rPr>
                <w:sz w:val="24"/>
                <w:szCs w:val="24"/>
                <w:lang w:val="ru-RU"/>
              </w:rPr>
            </w:pPr>
            <w:r w:rsidRPr="001028D8">
              <w:rPr>
                <w:sz w:val="24"/>
                <w:szCs w:val="24"/>
                <w:lang w:val="ru-RU"/>
              </w:rPr>
              <w:t>Повышение профессиональной компетентности педагогов в сфере питания</w:t>
            </w:r>
          </w:p>
        </w:tc>
        <w:tc>
          <w:tcPr>
            <w:tcW w:w="1559" w:type="dxa"/>
          </w:tcPr>
          <w:p w:rsidR="001028D8" w:rsidRPr="003465D2" w:rsidRDefault="001028D8" w:rsidP="007A655A">
            <w:pPr>
              <w:rPr>
                <w:sz w:val="24"/>
                <w:szCs w:val="24"/>
                <w:lang w:val="kk-KZ" w:eastAsia="ru-RU"/>
              </w:rPr>
            </w:pPr>
            <w:r w:rsidRPr="003465D2">
              <w:rPr>
                <w:sz w:val="24"/>
                <w:szCs w:val="24"/>
                <w:lang w:val="kk-KZ" w:eastAsia="ru-RU"/>
              </w:rPr>
              <w:t>г. Костанай</w:t>
            </w:r>
          </w:p>
          <w:p w:rsidR="001028D8" w:rsidRPr="003465D2" w:rsidRDefault="001028D8" w:rsidP="007A655A">
            <w:pPr>
              <w:rPr>
                <w:sz w:val="24"/>
                <w:szCs w:val="24"/>
                <w:lang w:val="kk-KZ"/>
              </w:rPr>
            </w:pPr>
            <w:r w:rsidRPr="003465D2">
              <w:rPr>
                <w:sz w:val="24"/>
                <w:szCs w:val="24"/>
                <w:lang w:eastAsia="ru-RU"/>
              </w:rPr>
              <w:t>26.05 – 05.06.2025</w:t>
            </w:r>
          </w:p>
        </w:tc>
        <w:tc>
          <w:tcPr>
            <w:tcW w:w="1418" w:type="dxa"/>
          </w:tcPr>
          <w:p w:rsidR="001028D8" w:rsidRPr="003465D2" w:rsidRDefault="001028D8" w:rsidP="007A655A">
            <w:pPr>
              <w:rPr>
                <w:sz w:val="24"/>
                <w:szCs w:val="24"/>
              </w:rPr>
            </w:pPr>
            <w:r w:rsidRPr="003465D2">
              <w:rPr>
                <w:sz w:val="24"/>
                <w:szCs w:val="24"/>
              </w:rPr>
              <w:t>НАО «</w:t>
            </w:r>
            <w:proofErr w:type="spellStart"/>
            <w:r w:rsidRPr="003465D2">
              <w:rPr>
                <w:sz w:val="24"/>
                <w:szCs w:val="24"/>
              </w:rPr>
              <w:t>Талап</w:t>
            </w:r>
            <w:proofErr w:type="spellEnd"/>
            <w:r w:rsidRPr="003465D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1028D8" w:rsidRDefault="001028D8" w:rsidP="007A65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</w:p>
        </w:tc>
        <w:tc>
          <w:tcPr>
            <w:tcW w:w="1701" w:type="dxa"/>
          </w:tcPr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D1D1F">
              <w:rPr>
                <w:sz w:val="24"/>
                <w:szCs w:val="24"/>
                <w:lang w:eastAsia="ru-RU"/>
              </w:rPr>
              <w:t>Сертификат</w:t>
            </w:r>
            <w:proofErr w:type="spellEnd"/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D1D1F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БППР-2557</w:t>
            </w:r>
          </w:p>
          <w:p w:rsidR="001028D8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D1D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Регистрацион</w:t>
            </w:r>
            <w:proofErr w:type="spellEnd"/>
          </w:p>
          <w:p w:rsidR="001028D8" w:rsidRPr="000D1D1F" w:rsidRDefault="001028D8" w:rsidP="007A655A">
            <w:pPr>
              <w:rPr>
                <w:sz w:val="24"/>
                <w:szCs w:val="24"/>
                <w:lang w:eastAsia="ru-RU"/>
              </w:rPr>
            </w:pPr>
            <w:r w:rsidRPr="000D1D1F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0003689</w:t>
            </w:r>
          </w:p>
        </w:tc>
      </w:tr>
    </w:tbl>
    <w:p w:rsidR="001028D8" w:rsidRDefault="001028D8" w:rsidP="001028D8">
      <w:pPr>
        <w:pStyle w:val="a6"/>
        <w:spacing w:before="0" w:beforeAutospacing="0" w:after="0" w:afterAutospacing="0"/>
      </w:pPr>
    </w:p>
    <w:sectPr w:rsidR="001028D8" w:rsidSect="001028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3"/>
    <w:rsid w:val="001028D8"/>
    <w:rsid w:val="004B2993"/>
    <w:rsid w:val="00654BBE"/>
    <w:rsid w:val="00A51931"/>
    <w:rsid w:val="00AF7719"/>
    <w:rsid w:val="00D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D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E05D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E05D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0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028D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D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E05D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E05D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0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028D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18BA-3D5E-440F-A1A9-31D6C83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2026-01-15T04:43:00Z</dcterms:created>
  <dcterms:modified xsi:type="dcterms:W3CDTF">2026-02-09T10:43:00Z</dcterms:modified>
</cp:coreProperties>
</file>